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6C3" w:rsidRDefault="001066C3">
      <w:bookmarkStart w:id="0" w:name="_GoBack"/>
      <w:bookmarkEnd w:id="0"/>
    </w:p>
    <w:p w:rsidR="000C53B6" w:rsidRDefault="000C53B6"/>
    <w:p w:rsidR="008737B6" w:rsidRDefault="008737B6"/>
    <w:p w:rsidR="008737B6" w:rsidRDefault="008737B6"/>
    <w:p w:rsidR="008737B6" w:rsidRDefault="008737B6"/>
    <w:p w:rsidR="008737B6" w:rsidRDefault="008737B6"/>
    <w:p w:rsidR="008737B6" w:rsidRDefault="008737B6"/>
    <w:p w:rsidR="008737B6" w:rsidRDefault="008737B6"/>
    <w:p w:rsidR="000C53B6" w:rsidRDefault="000C53B6" w:rsidP="000C53B6">
      <w:pPr>
        <w:pStyle w:val="Default"/>
      </w:pPr>
    </w:p>
    <w:p w:rsidR="008737B6" w:rsidRDefault="008737B6" w:rsidP="008737B6">
      <w:pPr>
        <w:pStyle w:val="Default"/>
        <w:jc w:val="center"/>
      </w:pPr>
      <w:r>
        <w:rPr>
          <w:noProof/>
        </w:rPr>
        <w:drawing>
          <wp:inline distT="0" distB="0" distL="0" distR="0">
            <wp:extent cx="1785257" cy="198461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aLogo-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7037" cy="1986593"/>
                    </a:xfrm>
                    <a:prstGeom prst="rect">
                      <a:avLst/>
                    </a:prstGeom>
                  </pic:spPr>
                </pic:pic>
              </a:graphicData>
            </a:graphic>
          </wp:inline>
        </w:drawing>
      </w:r>
    </w:p>
    <w:p w:rsidR="008737B6" w:rsidRDefault="008737B6" w:rsidP="000C53B6">
      <w:pPr>
        <w:pStyle w:val="Default"/>
      </w:pPr>
    </w:p>
    <w:p w:rsidR="00920E98" w:rsidRDefault="00920E98" w:rsidP="000C53B6">
      <w:pPr>
        <w:pStyle w:val="Default"/>
      </w:pPr>
    </w:p>
    <w:p w:rsidR="00920E98" w:rsidRDefault="00920E98" w:rsidP="000C53B6">
      <w:pPr>
        <w:pStyle w:val="Default"/>
      </w:pPr>
    </w:p>
    <w:p w:rsidR="008737B6" w:rsidRDefault="008737B6" w:rsidP="008737B6">
      <w:pPr>
        <w:pStyle w:val="Default"/>
        <w:jc w:val="center"/>
        <w:rPr>
          <w:rFonts w:ascii="Humanst521 BT" w:hAnsi="Humanst521 BT"/>
          <w:sz w:val="40"/>
          <w:szCs w:val="40"/>
        </w:rPr>
      </w:pPr>
      <w:r w:rsidRPr="008737B6">
        <w:rPr>
          <w:rFonts w:ascii="Humanst521 BT" w:hAnsi="Humanst521 BT"/>
          <w:sz w:val="40"/>
          <w:szCs w:val="40"/>
        </w:rPr>
        <w:t>SHIRE</w:t>
      </w:r>
      <w:r>
        <w:rPr>
          <w:rFonts w:ascii="Humanst521 BT" w:hAnsi="Humanst521 BT"/>
          <w:sz w:val="40"/>
          <w:szCs w:val="40"/>
        </w:rPr>
        <w:t xml:space="preserve"> OF MOORA TOWN PLANNING POLICY </w:t>
      </w:r>
    </w:p>
    <w:p w:rsidR="008737B6" w:rsidRPr="008737B6" w:rsidRDefault="008737B6" w:rsidP="008737B6">
      <w:pPr>
        <w:pStyle w:val="Default"/>
        <w:jc w:val="center"/>
        <w:rPr>
          <w:rFonts w:ascii="Humanst521 BT" w:hAnsi="Humanst521 BT"/>
          <w:sz w:val="40"/>
          <w:szCs w:val="40"/>
        </w:rPr>
      </w:pPr>
      <w:r>
        <w:rPr>
          <w:rFonts w:ascii="Humanst521 BT" w:hAnsi="Humanst521 BT"/>
          <w:sz w:val="40"/>
          <w:szCs w:val="40"/>
        </w:rPr>
        <w:t>for</w:t>
      </w:r>
    </w:p>
    <w:p w:rsidR="008737B6" w:rsidRDefault="008737B6" w:rsidP="000C53B6">
      <w:pPr>
        <w:pStyle w:val="Default"/>
      </w:pPr>
    </w:p>
    <w:p w:rsidR="008737B6" w:rsidRPr="008737B6" w:rsidRDefault="008737B6" w:rsidP="008737B6">
      <w:pPr>
        <w:pStyle w:val="Default"/>
        <w:jc w:val="center"/>
        <w:rPr>
          <w:rFonts w:ascii="Humanst521 BT" w:hAnsi="Humanst521 BT"/>
          <w:sz w:val="40"/>
          <w:szCs w:val="40"/>
        </w:rPr>
      </w:pPr>
      <w:r>
        <w:rPr>
          <w:rFonts w:ascii="Humanst521 BT" w:hAnsi="Humanst521 BT"/>
          <w:sz w:val="40"/>
          <w:szCs w:val="40"/>
        </w:rPr>
        <w:t xml:space="preserve">RELOCATED BUILDINGS </w:t>
      </w: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8737B6" w:rsidRDefault="008737B6" w:rsidP="000C53B6">
      <w:pPr>
        <w:pStyle w:val="Default"/>
      </w:pPr>
    </w:p>
    <w:p w:rsidR="000C53B6" w:rsidRPr="008737B6" w:rsidRDefault="008737B6" w:rsidP="000C53B6">
      <w:pPr>
        <w:pStyle w:val="Default"/>
        <w:rPr>
          <w:rFonts w:ascii="Humanst521 BT" w:hAnsi="Humanst521 BT"/>
        </w:rPr>
      </w:pPr>
      <w:r w:rsidRPr="008737B6">
        <w:rPr>
          <w:rFonts w:ascii="Humanst521 BT" w:hAnsi="Humanst521 BT"/>
          <w:b/>
          <w:bCs/>
        </w:rPr>
        <w:lastRenderedPageBreak/>
        <w:t>INDEX</w:t>
      </w:r>
      <w:r w:rsidR="000C53B6" w:rsidRPr="008737B6">
        <w:rPr>
          <w:rFonts w:ascii="Humanst521 BT" w:hAnsi="Humanst521 BT"/>
          <w:b/>
          <w:bCs/>
        </w:rPr>
        <w:t xml:space="preserve"> </w:t>
      </w: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0C53B6" w:rsidRPr="008737B6" w:rsidRDefault="000C53B6" w:rsidP="000C53B6">
      <w:pPr>
        <w:pStyle w:val="Default"/>
        <w:rPr>
          <w:rFonts w:ascii="Humanst521 BT" w:hAnsi="Humanst521 BT"/>
        </w:rPr>
      </w:pPr>
      <w:r w:rsidRPr="008737B6">
        <w:rPr>
          <w:rFonts w:ascii="Humanst521 BT" w:hAnsi="Humanst521 BT"/>
          <w:b/>
          <w:bCs/>
        </w:rPr>
        <w:t xml:space="preserve">Local Planning Policy </w:t>
      </w:r>
    </w:p>
    <w:p w:rsidR="000C53B6" w:rsidRPr="008737B6" w:rsidRDefault="000C53B6" w:rsidP="000C53B6">
      <w:pPr>
        <w:pStyle w:val="Default"/>
        <w:rPr>
          <w:rFonts w:ascii="Humanst521 BT" w:hAnsi="Humanst521 BT"/>
        </w:rPr>
      </w:pPr>
      <w:r w:rsidRPr="008737B6">
        <w:rPr>
          <w:rFonts w:ascii="Humanst521 BT" w:hAnsi="Humanst521 BT"/>
        </w:rPr>
        <w:t xml:space="preserve">1.0 PURPOSE </w:t>
      </w:r>
    </w:p>
    <w:p w:rsidR="008737B6" w:rsidRPr="008737B6" w:rsidRDefault="008737B6" w:rsidP="000C53B6">
      <w:pPr>
        <w:pStyle w:val="Default"/>
        <w:rPr>
          <w:rFonts w:ascii="Humanst521 BT" w:hAnsi="Humanst521 BT"/>
        </w:rPr>
      </w:pPr>
    </w:p>
    <w:p w:rsidR="000C53B6" w:rsidRPr="008737B6" w:rsidRDefault="000C53B6" w:rsidP="000C53B6">
      <w:pPr>
        <w:pStyle w:val="Default"/>
        <w:rPr>
          <w:rFonts w:ascii="Humanst521 BT" w:hAnsi="Humanst521 BT"/>
        </w:rPr>
      </w:pPr>
      <w:r w:rsidRPr="008737B6">
        <w:rPr>
          <w:rFonts w:ascii="Humanst521 BT" w:hAnsi="Humanst521 BT"/>
        </w:rPr>
        <w:t xml:space="preserve">2.0 SCOPE </w:t>
      </w:r>
    </w:p>
    <w:p w:rsidR="008737B6" w:rsidRPr="008737B6" w:rsidRDefault="008737B6" w:rsidP="000C53B6">
      <w:pPr>
        <w:pStyle w:val="Default"/>
        <w:rPr>
          <w:rFonts w:ascii="Humanst521 BT" w:hAnsi="Humanst521 BT"/>
        </w:rPr>
      </w:pPr>
    </w:p>
    <w:p w:rsidR="000C53B6" w:rsidRPr="008737B6" w:rsidRDefault="000C53B6" w:rsidP="000C53B6">
      <w:pPr>
        <w:pStyle w:val="Default"/>
        <w:rPr>
          <w:rFonts w:ascii="Humanst521 BT" w:hAnsi="Humanst521 BT"/>
        </w:rPr>
      </w:pPr>
      <w:r w:rsidRPr="008737B6">
        <w:rPr>
          <w:rFonts w:ascii="Humanst521 BT" w:hAnsi="Humanst521 BT"/>
        </w:rPr>
        <w:t xml:space="preserve">3.0 OBJECTIVE </w:t>
      </w:r>
    </w:p>
    <w:p w:rsidR="008737B6" w:rsidRPr="008737B6" w:rsidRDefault="008737B6" w:rsidP="000C53B6">
      <w:pPr>
        <w:pStyle w:val="Default"/>
        <w:rPr>
          <w:rFonts w:ascii="Humanst521 BT" w:hAnsi="Humanst521 BT"/>
        </w:rPr>
      </w:pPr>
    </w:p>
    <w:p w:rsidR="000C53B6" w:rsidRPr="008737B6" w:rsidRDefault="000C53B6" w:rsidP="000C53B6">
      <w:pPr>
        <w:pStyle w:val="Default"/>
        <w:rPr>
          <w:rFonts w:ascii="Humanst521 BT" w:hAnsi="Humanst521 BT"/>
        </w:rPr>
      </w:pPr>
      <w:r w:rsidRPr="008737B6">
        <w:rPr>
          <w:rFonts w:ascii="Humanst521 BT" w:hAnsi="Humanst521 BT"/>
        </w:rPr>
        <w:t xml:space="preserve">4.0 POLICY STATEMENT </w:t>
      </w:r>
    </w:p>
    <w:p w:rsidR="000C53B6" w:rsidRPr="008737B6" w:rsidRDefault="000C53B6" w:rsidP="008737B6">
      <w:pPr>
        <w:pStyle w:val="Default"/>
        <w:ind w:firstLine="426"/>
        <w:rPr>
          <w:rFonts w:ascii="Humanst521 BT" w:hAnsi="Humanst521 BT"/>
        </w:rPr>
      </w:pPr>
      <w:r w:rsidRPr="008737B6">
        <w:rPr>
          <w:rFonts w:ascii="Humanst521 BT" w:hAnsi="Humanst521 BT"/>
        </w:rPr>
        <w:t xml:space="preserve">4.1 Definitions </w:t>
      </w:r>
    </w:p>
    <w:p w:rsidR="000C53B6" w:rsidRPr="008737B6" w:rsidRDefault="000C53B6" w:rsidP="008737B6">
      <w:pPr>
        <w:pStyle w:val="Default"/>
        <w:ind w:firstLine="426"/>
        <w:rPr>
          <w:rFonts w:ascii="Humanst521 BT" w:hAnsi="Humanst521 BT"/>
        </w:rPr>
      </w:pPr>
      <w:r w:rsidRPr="008737B6">
        <w:rPr>
          <w:rFonts w:ascii="Humanst521 BT" w:hAnsi="Humanst521 BT"/>
        </w:rPr>
        <w:t xml:space="preserve">4.2 Location </w:t>
      </w:r>
    </w:p>
    <w:p w:rsidR="000C53B6" w:rsidRPr="008737B6" w:rsidRDefault="000C53B6" w:rsidP="008737B6">
      <w:pPr>
        <w:pStyle w:val="Default"/>
        <w:ind w:firstLine="426"/>
        <w:rPr>
          <w:rFonts w:ascii="Humanst521 BT" w:hAnsi="Humanst521 BT"/>
        </w:rPr>
      </w:pPr>
      <w:r w:rsidRPr="008737B6">
        <w:rPr>
          <w:rFonts w:ascii="Humanst521 BT" w:hAnsi="Humanst521 BT"/>
        </w:rPr>
        <w:t xml:space="preserve">4.3 Cladding </w:t>
      </w:r>
    </w:p>
    <w:p w:rsidR="000C53B6" w:rsidRPr="008737B6" w:rsidRDefault="000C53B6" w:rsidP="008737B6">
      <w:pPr>
        <w:pStyle w:val="Default"/>
        <w:ind w:firstLine="426"/>
        <w:rPr>
          <w:rFonts w:ascii="Humanst521 BT" w:hAnsi="Humanst521 BT"/>
        </w:rPr>
      </w:pPr>
      <w:r w:rsidRPr="008737B6">
        <w:rPr>
          <w:rFonts w:ascii="Humanst521 BT" w:hAnsi="Humanst521 BT"/>
        </w:rPr>
        <w:t xml:space="preserve">4.4 Conditions </w:t>
      </w:r>
    </w:p>
    <w:p w:rsidR="000C53B6" w:rsidRPr="008737B6" w:rsidRDefault="000C53B6" w:rsidP="008737B6">
      <w:pPr>
        <w:pStyle w:val="Default"/>
        <w:ind w:firstLine="426"/>
        <w:rPr>
          <w:rFonts w:ascii="Humanst521 BT" w:hAnsi="Humanst521 BT"/>
        </w:rPr>
      </w:pPr>
      <w:r w:rsidRPr="008737B6">
        <w:rPr>
          <w:rFonts w:ascii="Humanst521 BT" w:hAnsi="Humanst521 BT"/>
        </w:rPr>
        <w:t xml:space="preserve">4.5 Bonds/Guarantees </w:t>
      </w:r>
    </w:p>
    <w:p w:rsidR="000C53B6" w:rsidRPr="008737B6" w:rsidRDefault="000C53B6" w:rsidP="008737B6">
      <w:pPr>
        <w:pStyle w:val="Default"/>
        <w:ind w:firstLine="426"/>
        <w:rPr>
          <w:rFonts w:ascii="Humanst521 BT" w:hAnsi="Humanst521 BT"/>
        </w:rPr>
      </w:pPr>
      <w:r w:rsidRPr="008737B6">
        <w:rPr>
          <w:rFonts w:ascii="Humanst521 BT" w:hAnsi="Humanst521 BT"/>
        </w:rPr>
        <w:t xml:space="preserve">4.6 Application Requirements </w:t>
      </w:r>
    </w:p>
    <w:p w:rsidR="000C53B6" w:rsidRPr="008737B6" w:rsidRDefault="000C53B6" w:rsidP="008737B6">
      <w:pPr>
        <w:pStyle w:val="Default"/>
        <w:ind w:firstLine="426"/>
        <w:rPr>
          <w:rFonts w:ascii="Humanst521 BT" w:hAnsi="Humanst521 BT"/>
        </w:rPr>
      </w:pPr>
      <w:r w:rsidRPr="008737B6">
        <w:rPr>
          <w:rFonts w:ascii="Humanst521 BT" w:hAnsi="Humanst521 BT"/>
        </w:rPr>
        <w:t xml:space="preserve">4.7 Consultation </w:t>
      </w:r>
    </w:p>
    <w:p w:rsidR="008737B6" w:rsidRPr="008737B6" w:rsidRDefault="008737B6" w:rsidP="000C53B6">
      <w:pPr>
        <w:pStyle w:val="Default"/>
        <w:rPr>
          <w:rFonts w:ascii="Humanst521 BT" w:hAnsi="Humanst521 BT"/>
        </w:rPr>
      </w:pPr>
    </w:p>
    <w:p w:rsidR="000C53B6" w:rsidRPr="008737B6" w:rsidRDefault="000C53B6" w:rsidP="000C53B6">
      <w:pPr>
        <w:pStyle w:val="Default"/>
        <w:rPr>
          <w:rFonts w:ascii="Humanst521 BT" w:hAnsi="Humanst521 BT"/>
        </w:rPr>
      </w:pPr>
      <w:r w:rsidRPr="008737B6">
        <w:rPr>
          <w:rFonts w:ascii="Humanst521 BT" w:hAnsi="Humanst521 BT"/>
        </w:rPr>
        <w:t xml:space="preserve">5.0 REFERENCE </w:t>
      </w:r>
    </w:p>
    <w:p w:rsidR="008737B6" w:rsidRPr="008737B6" w:rsidRDefault="008737B6" w:rsidP="000C53B6">
      <w:pPr>
        <w:pStyle w:val="Default"/>
        <w:rPr>
          <w:rFonts w:ascii="Humanst521 BT" w:hAnsi="Humanst521 BT"/>
        </w:rPr>
      </w:pPr>
    </w:p>
    <w:p w:rsidR="000C53B6" w:rsidRPr="008737B6" w:rsidRDefault="000C53B6" w:rsidP="000C53B6">
      <w:pPr>
        <w:pStyle w:val="Default"/>
        <w:rPr>
          <w:rFonts w:ascii="Humanst521 BT" w:hAnsi="Humanst521 BT"/>
        </w:rPr>
      </w:pPr>
      <w:r w:rsidRPr="008737B6">
        <w:rPr>
          <w:rFonts w:ascii="Humanst521 BT" w:hAnsi="Humanst521 BT"/>
        </w:rPr>
        <w:t xml:space="preserve">6.0 RESPONSIBILITIES </w:t>
      </w:r>
    </w:p>
    <w:p w:rsidR="008737B6" w:rsidRPr="008737B6" w:rsidRDefault="008737B6" w:rsidP="000C53B6">
      <w:pPr>
        <w:pStyle w:val="Default"/>
        <w:rPr>
          <w:rFonts w:ascii="Humanst521 BT" w:hAnsi="Humanst521 BT"/>
        </w:rPr>
      </w:pPr>
    </w:p>
    <w:p w:rsidR="000C53B6" w:rsidRPr="008737B6" w:rsidRDefault="000C53B6" w:rsidP="000C53B6">
      <w:pPr>
        <w:pStyle w:val="Default"/>
        <w:rPr>
          <w:rFonts w:ascii="Humanst521 BT" w:hAnsi="Humanst521 BT"/>
        </w:rPr>
      </w:pPr>
      <w:r w:rsidRPr="008737B6">
        <w:rPr>
          <w:rFonts w:ascii="Humanst521 BT" w:hAnsi="Humanst521 BT"/>
        </w:rPr>
        <w:t xml:space="preserve">7.0 ADOPTION </w:t>
      </w: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8737B6" w:rsidRPr="008737B6" w:rsidRDefault="008737B6" w:rsidP="000C53B6">
      <w:pPr>
        <w:pStyle w:val="Default"/>
        <w:rPr>
          <w:rFonts w:ascii="Humanst521 BT" w:hAnsi="Humanst521 BT"/>
          <w:b/>
          <w:bCs/>
        </w:rPr>
      </w:pPr>
    </w:p>
    <w:p w:rsidR="000C53B6" w:rsidRPr="008737B6" w:rsidRDefault="000C53B6" w:rsidP="000C53B6">
      <w:pPr>
        <w:pStyle w:val="Default"/>
        <w:rPr>
          <w:rFonts w:ascii="Humanst521 BT" w:hAnsi="Humanst521 BT"/>
        </w:rPr>
      </w:pPr>
      <w:r w:rsidRPr="008737B6">
        <w:rPr>
          <w:rFonts w:ascii="Humanst521 BT" w:hAnsi="Humanst521 BT"/>
          <w:b/>
          <w:bCs/>
        </w:rPr>
        <w:lastRenderedPageBreak/>
        <w:t xml:space="preserve">1.0 PURPOSE: </w:t>
      </w:r>
    </w:p>
    <w:p w:rsidR="000C53B6" w:rsidRPr="008737B6" w:rsidRDefault="000C53B6" w:rsidP="00383F79">
      <w:pPr>
        <w:pStyle w:val="Default"/>
        <w:jc w:val="both"/>
        <w:rPr>
          <w:rFonts w:ascii="Humanst521 BT" w:hAnsi="Humanst521 BT"/>
        </w:rPr>
      </w:pPr>
      <w:r w:rsidRPr="008737B6">
        <w:rPr>
          <w:rFonts w:ascii="Humanst521 BT" w:hAnsi="Humanst521 BT"/>
        </w:rPr>
        <w:t xml:space="preserve">Local Planning Policies are guidelines used to assist the local government in making decisions under the Scheme. The Scheme prevails should there be any conflict between this Policy and the Scheme. </w:t>
      </w:r>
    </w:p>
    <w:p w:rsidR="008737B6" w:rsidRPr="008737B6" w:rsidRDefault="008737B6" w:rsidP="00383F79">
      <w:pPr>
        <w:pStyle w:val="Default"/>
        <w:jc w:val="both"/>
        <w:rPr>
          <w:rFonts w:ascii="Humanst521 BT" w:hAnsi="Humanst521 BT"/>
          <w:b/>
          <w:bCs/>
        </w:rPr>
      </w:pPr>
    </w:p>
    <w:p w:rsidR="000C53B6" w:rsidRPr="008737B6" w:rsidRDefault="000C53B6" w:rsidP="00383F79">
      <w:pPr>
        <w:pStyle w:val="Default"/>
        <w:jc w:val="both"/>
        <w:rPr>
          <w:rFonts w:ascii="Humanst521 BT" w:hAnsi="Humanst521 BT"/>
        </w:rPr>
      </w:pPr>
      <w:r w:rsidRPr="008737B6">
        <w:rPr>
          <w:rFonts w:ascii="Humanst521 BT" w:hAnsi="Humanst521 BT"/>
          <w:b/>
          <w:bCs/>
        </w:rPr>
        <w:t xml:space="preserve">2.0 SCOPE: </w:t>
      </w:r>
    </w:p>
    <w:p w:rsidR="000C53B6" w:rsidRPr="008737B6" w:rsidRDefault="000C53B6" w:rsidP="00383F79">
      <w:pPr>
        <w:pStyle w:val="Default"/>
        <w:jc w:val="both"/>
        <w:rPr>
          <w:rFonts w:ascii="Humanst521 BT" w:hAnsi="Humanst521 BT"/>
        </w:rPr>
      </w:pPr>
      <w:r w:rsidRPr="008737B6">
        <w:rPr>
          <w:rFonts w:ascii="Humanst521 BT" w:hAnsi="Humanst521 BT"/>
        </w:rPr>
        <w:t xml:space="preserve">A Local Planning Policy is not part of the Scheme and does not bind the local government in respect of any application for planning approval but the local government is to have due regard to the provisions of the Policy and the objectives which the Policy is designed to achieve before making its determination. </w:t>
      </w:r>
    </w:p>
    <w:p w:rsidR="008737B6" w:rsidRPr="008737B6" w:rsidRDefault="008737B6" w:rsidP="00383F79">
      <w:pPr>
        <w:pStyle w:val="Default"/>
        <w:jc w:val="both"/>
        <w:rPr>
          <w:rFonts w:ascii="Humanst521 BT" w:hAnsi="Humanst521 BT"/>
          <w:b/>
          <w:bCs/>
        </w:rPr>
      </w:pPr>
    </w:p>
    <w:p w:rsidR="000C53B6" w:rsidRPr="008737B6" w:rsidRDefault="000C53B6" w:rsidP="00383F79">
      <w:pPr>
        <w:pStyle w:val="Default"/>
        <w:jc w:val="both"/>
        <w:rPr>
          <w:rFonts w:ascii="Humanst521 BT" w:hAnsi="Humanst521 BT"/>
        </w:rPr>
      </w:pPr>
      <w:r w:rsidRPr="008737B6">
        <w:rPr>
          <w:rFonts w:ascii="Humanst521 BT" w:hAnsi="Humanst521 BT"/>
          <w:b/>
          <w:bCs/>
        </w:rPr>
        <w:t xml:space="preserve">3.0 OBJECTIVE: </w:t>
      </w:r>
    </w:p>
    <w:p w:rsidR="000C53B6" w:rsidRPr="00672D2F" w:rsidRDefault="00672D2F" w:rsidP="00383F79">
      <w:pPr>
        <w:pStyle w:val="Default"/>
        <w:ind w:left="567" w:hanging="567"/>
        <w:jc w:val="both"/>
        <w:rPr>
          <w:rFonts w:ascii="Humanst521 BT" w:hAnsi="Humanst521 BT"/>
          <w:color w:val="auto"/>
        </w:rPr>
      </w:pPr>
      <w:r>
        <w:rPr>
          <w:rFonts w:ascii="Humanst521 BT" w:hAnsi="Humanst521 BT"/>
          <w:color w:val="auto"/>
        </w:rPr>
        <w:t>3.1</w:t>
      </w:r>
      <w:r>
        <w:rPr>
          <w:rFonts w:ascii="Humanst521 BT" w:hAnsi="Humanst521 BT"/>
          <w:color w:val="auto"/>
        </w:rPr>
        <w:tab/>
      </w:r>
      <w:r w:rsidR="000C53B6" w:rsidRPr="00672D2F">
        <w:rPr>
          <w:rFonts w:ascii="Humanst521 BT" w:hAnsi="Humanst521 BT"/>
          <w:color w:val="auto"/>
        </w:rPr>
        <w:t xml:space="preserve">To ensure the relocated building presentation is of an acceptable standard to that of the locality. </w:t>
      </w:r>
    </w:p>
    <w:p w:rsidR="00672D2F" w:rsidRPr="00672D2F" w:rsidRDefault="00672D2F" w:rsidP="00383F79">
      <w:pPr>
        <w:pStyle w:val="Default"/>
        <w:ind w:left="567" w:hanging="567"/>
        <w:jc w:val="both"/>
        <w:rPr>
          <w:rFonts w:ascii="Humanst521 BT" w:hAnsi="Humanst521 BT"/>
          <w:color w:val="auto"/>
        </w:rPr>
      </w:pPr>
      <w:r w:rsidRPr="00672D2F">
        <w:rPr>
          <w:rFonts w:ascii="Humanst521 BT" w:hAnsi="Humanst521 BT"/>
          <w:color w:val="auto"/>
        </w:rPr>
        <w:t>3.2</w:t>
      </w:r>
      <w:r>
        <w:rPr>
          <w:rFonts w:ascii="Humanst521 BT" w:hAnsi="Humanst521 BT"/>
          <w:color w:val="auto"/>
        </w:rPr>
        <w:tab/>
      </w:r>
      <w:r w:rsidR="000C53B6" w:rsidRPr="00672D2F">
        <w:rPr>
          <w:rFonts w:ascii="Humanst521 BT" w:hAnsi="Humanst521 BT"/>
          <w:color w:val="auto"/>
        </w:rPr>
        <w:t xml:space="preserve">To ensure that any relocated buildings does not detract from an existing (or reasonably desired) streetscape. </w:t>
      </w:r>
    </w:p>
    <w:p w:rsidR="00672D2F" w:rsidRPr="00672D2F" w:rsidRDefault="00672D2F" w:rsidP="00383F79">
      <w:pPr>
        <w:pStyle w:val="Default"/>
        <w:ind w:left="567" w:hanging="567"/>
        <w:jc w:val="both"/>
        <w:rPr>
          <w:rFonts w:ascii="Humanst521 BT" w:hAnsi="Humanst521 BT"/>
          <w:color w:val="auto"/>
        </w:rPr>
      </w:pPr>
      <w:r>
        <w:rPr>
          <w:rFonts w:ascii="Humanst521 BT" w:hAnsi="Humanst521 BT"/>
          <w:color w:val="auto"/>
        </w:rPr>
        <w:t>3.3</w:t>
      </w:r>
      <w:r>
        <w:rPr>
          <w:rFonts w:ascii="Humanst521 BT" w:hAnsi="Humanst521 BT"/>
          <w:color w:val="auto"/>
        </w:rPr>
        <w:tab/>
      </w:r>
      <w:r w:rsidR="000C53B6" w:rsidRPr="00672D2F">
        <w:rPr>
          <w:rFonts w:ascii="Humanst521 BT" w:hAnsi="Humanst521 BT"/>
          <w:color w:val="auto"/>
        </w:rPr>
        <w:t xml:space="preserve">To enable the local government to retain such monies (bonds) to ensure the desired standard of development is achieved. </w:t>
      </w:r>
    </w:p>
    <w:p w:rsidR="00672D2F" w:rsidRDefault="00672D2F" w:rsidP="00383F79">
      <w:pPr>
        <w:pStyle w:val="Default"/>
        <w:jc w:val="both"/>
        <w:rPr>
          <w:rFonts w:ascii="Humanst521 BT" w:hAnsi="Humanst521 BT"/>
        </w:rPr>
      </w:pPr>
    </w:p>
    <w:p w:rsidR="00672D2F" w:rsidRDefault="00557FD6" w:rsidP="00383F79">
      <w:pPr>
        <w:pStyle w:val="Default"/>
        <w:jc w:val="both"/>
        <w:rPr>
          <w:rFonts w:ascii="Humanst521 BT" w:hAnsi="Humanst521 BT"/>
          <w:b/>
          <w:bCs/>
          <w:color w:val="auto"/>
        </w:rPr>
      </w:pPr>
      <w:r w:rsidRPr="008737B6">
        <w:rPr>
          <w:rFonts w:ascii="Humanst521 BT" w:hAnsi="Humanst521 BT"/>
          <w:b/>
          <w:bCs/>
          <w:color w:val="auto"/>
        </w:rPr>
        <w:t>4.0 POLICY STATEMENT:</w:t>
      </w:r>
    </w:p>
    <w:p w:rsidR="00557FD6" w:rsidRPr="008737B6" w:rsidRDefault="00557FD6" w:rsidP="00383F79">
      <w:pPr>
        <w:pStyle w:val="Default"/>
        <w:jc w:val="both"/>
        <w:rPr>
          <w:rFonts w:ascii="Humanst521 BT" w:hAnsi="Humanst521 BT"/>
          <w:color w:val="auto"/>
        </w:rPr>
      </w:pPr>
      <w:r w:rsidRPr="008737B6">
        <w:rPr>
          <w:rFonts w:ascii="Humanst521 BT" w:hAnsi="Humanst521 BT"/>
          <w:b/>
          <w:bCs/>
          <w:color w:val="auto"/>
        </w:rPr>
        <w:t xml:space="preserve">4.1 Definitions </w:t>
      </w:r>
    </w:p>
    <w:p w:rsidR="00557FD6" w:rsidRPr="008737B6" w:rsidRDefault="00557FD6" w:rsidP="00383F79">
      <w:pPr>
        <w:pStyle w:val="Default"/>
        <w:ind w:left="567" w:hanging="567"/>
        <w:jc w:val="both"/>
        <w:rPr>
          <w:rFonts w:ascii="Humanst521 BT" w:hAnsi="Humanst521 BT"/>
          <w:color w:val="auto"/>
        </w:rPr>
      </w:pPr>
      <w:r w:rsidRPr="008737B6">
        <w:rPr>
          <w:rFonts w:ascii="Humanst521 BT" w:hAnsi="Humanst521 BT"/>
          <w:color w:val="auto"/>
        </w:rPr>
        <w:t xml:space="preserve">4.1.1 For the purposes of this policy a </w:t>
      </w:r>
      <w:r w:rsidRPr="00672D2F">
        <w:rPr>
          <w:rFonts w:ascii="Humanst521 BT" w:hAnsi="Humanst521 BT"/>
          <w:color w:val="auto"/>
        </w:rPr>
        <w:t xml:space="preserve">“Relocated Building” </w:t>
      </w:r>
      <w:r w:rsidRPr="008737B6">
        <w:rPr>
          <w:rFonts w:ascii="Humanst521 BT" w:hAnsi="Humanst521 BT"/>
          <w:color w:val="auto"/>
        </w:rPr>
        <w:t xml:space="preserve">means a dwelling or outbuilding that has been previously constructed/located on a different property yet has the ability to be dismantled in whole (or in part) for the purpose of being transported and sited on another property. </w:t>
      </w:r>
    </w:p>
    <w:p w:rsidR="00557FD6" w:rsidRPr="008737B6" w:rsidRDefault="00557FD6" w:rsidP="00383F79">
      <w:pPr>
        <w:pStyle w:val="Default"/>
        <w:ind w:left="567" w:hanging="567"/>
        <w:jc w:val="both"/>
        <w:rPr>
          <w:rFonts w:ascii="Humanst521 BT" w:hAnsi="Humanst521 BT"/>
          <w:color w:val="auto"/>
        </w:rPr>
      </w:pPr>
      <w:r w:rsidRPr="008737B6">
        <w:rPr>
          <w:rFonts w:ascii="Humanst521 BT" w:hAnsi="Humanst521 BT"/>
          <w:color w:val="auto"/>
        </w:rPr>
        <w:t>4.1.2 A purpose designed, new transportable building (</w:t>
      </w:r>
      <w:r w:rsidR="00672D2F" w:rsidRPr="008737B6">
        <w:rPr>
          <w:rFonts w:ascii="Humanst521 BT" w:hAnsi="Humanst521 BT"/>
          <w:color w:val="auto"/>
        </w:rPr>
        <w:t>e.g.</w:t>
      </w:r>
      <w:r w:rsidRPr="008737B6">
        <w:rPr>
          <w:rFonts w:ascii="Humanst521 BT" w:hAnsi="Humanst521 BT"/>
          <w:color w:val="auto"/>
        </w:rPr>
        <w:t xml:space="preserve"> a “kit home”) is not considered a relocated building when first being located on a lot. Subsequent moving of the building is subject to this policy. </w:t>
      </w:r>
    </w:p>
    <w:p w:rsidR="00672D2F" w:rsidRDefault="00672D2F" w:rsidP="00383F79">
      <w:pPr>
        <w:pStyle w:val="Default"/>
        <w:jc w:val="both"/>
        <w:rPr>
          <w:rFonts w:ascii="Humanst521 BT" w:hAnsi="Humanst521 BT"/>
          <w:b/>
          <w:bCs/>
          <w:color w:val="auto"/>
        </w:rPr>
      </w:pPr>
    </w:p>
    <w:p w:rsidR="00557FD6" w:rsidRPr="008737B6" w:rsidRDefault="00557FD6" w:rsidP="00383F79">
      <w:pPr>
        <w:pStyle w:val="Default"/>
        <w:jc w:val="both"/>
        <w:rPr>
          <w:rFonts w:ascii="Humanst521 BT" w:hAnsi="Humanst521 BT"/>
          <w:color w:val="auto"/>
        </w:rPr>
      </w:pPr>
      <w:r w:rsidRPr="008737B6">
        <w:rPr>
          <w:rFonts w:ascii="Humanst521 BT" w:hAnsi="Humanst521 BT"/>
          <w:b/>
          <w:bCs/>
          <w:color w:val="auto"/>
        </w:rPr>
        <w:t xml:space="preserve">4.2 Location </w:t>
      </w:r>
    </w:p>
    <w:p w:rsidR="00557FD6" w:rsidRPr="008737B6" w:rsidRDefault="00557FD6" w:rsidP="00383F79">
      <w:pPr>
        <w:pStyle w:val="Default"/>
        <w:jc w:val="both"/>
        <w:rPr>
          <w:rFonts w:ascii="Humanst521 BT" w:hAnsi="Humanst521 BT"/>
          <w:color w:val="auto"/>
        </w:rPr>
      </w:pPr>
      <w:r w:rsidRPr="008737B6">
        <w:rPr>
          <w:rFonts w:ascii="Humanst521 BT" w:hAnsi="Humanst521 BT"/>
          <w:color w:val="auto"/>
        </w:rPr>
        <w:t xml:space="preserve">In general, relocated buildings are not considered appropriate in the “Urban Precinct” areas of the Town Planning Scheme as they would be contrary to the objectives of those areas. In addition, in newly created subdivisions, it is often the case that design guidelines are attached to the sale of the land which may prohibit the placement of a relocated building on the property. The onus is on the applicant to source this information if this is the case, as the local government does not administer these types of guidelines. </w:t>
      </w:r>
    </w:p>
    <w:p w:rsidR="00672D2F" w:rsidRDefault="00672D2F" w:rsidP="00383F79">
      <w:pPr>
        <w:pStyle w:val="Default"/>
        <w:jc w:val="both"/>
        <w:rPr>
          <w:rFonts w:ascii="Humanst521 BT" w:hAnsi="Humanst521 BT"/>
          <w:b/>
          <w:bCs/>
          <w:color w:val="auto"/>
        </w:rPr>
      </w:pPr>
    </w:p>
    <w:p w:rsidR="00557FD6" w:rsidRPr="008737B6" w:rsidRDefault="00557FD6" w:rsidP="00383F79">
      <w:pPr>
        <w:pStyle w:val="Default"/>
        <w:jc w:val="both"/>
        <w:rPr>
          <w:rFonts w:ascii="Humanst521 BT" w:hAnsi="Humanst521 BT"/>
          <w:color w:val="auto"/>
        </w:rPr>
      </w:pPr>
      <w:r w:rsidRPr="008737B6">
        <w:rPr>
          <w:rFonts w:ascii="Humanst521 BT" w:hAnsi="Humanst521 BT"/>
          <w:b/>
          <w:bCs/>
          <w:color w:val="auto"/>
        </w:rPr>
        <w:t xml:space="preserve">4.3 Cladding </w:t>
      </w:r>
    </w:p>
    <w:p w:rsidR="00557FD6" w:rsidRPr="008737B6" w:rsidRDefault="00557FD6" w:rsidP="00383F79">
      <w:pPr>
        <w:pStyle w:val="Default"/>
        <w:jc w:val="both"/>
        <w:rPr>
          <w:rFonts w:ascii="Humanst521 BT" w:hAnsi="Humanst521 BT"/>
          <w:color w:val="auto"/>
        </w:rPr>
      </w:pPr>
      <w:r w:rsidRPr="008737B6">
        <w:rPr>
          <w:rFonts w:ascii="Humanst521 BT" w:hAnsi="Humanst521 BT"/>
          <w:color w:val="auto"/>
        </w:rPr>
        <w:t xml:space="preserve">All external asbestos cladding shall be removed from the relocated building prior to it being transported, and (unless specific approval is given otherwise) be replaced with new material. </w:t>
      </w:r>
    </w:p>
    <w:p w:rsidR="00672D2F" w:rsidRDefault="00672D2F" w:rsidP="00383F79">
      <w:pPr>
        <w:pStyle w:val="Default"/>
        <w:jc w:val="both"/>
        <w:rPr>
          <w:rFonts w:ascii="Humanst521 BT" w:hAnsi="Humanst521 BT"/>
          <w:b/>
          <w:bCs/>
          <w:color w:val="auto"/>
        </w:rPr>
      </w:pPr>
    </w:p>
    <w:p w:rsidR="00557FD6" w:rsidRPr="008737B6" w:rsidRDefault="00557FD6" w:rsidP="00383F79">
      <w:pPr>
        <w:pStyle w:val="Default"/>
        <w:jc w:val="both"/>
        <w:rPr>
          <w:rFonts w:ascii="Humanst521 BT" w:hAnsi="Humanst521 BT"/>
          <w:color w:val="auto"/>
        </w:rPr>
      </w:pPr>
      <w:r w:rsidRPr="008737B6">
        <w:rPr>
          <w:rFonts w:ascii="Humanst521 BT" w:hAnsi="Humanst521 BT"/>
          <w:b/>
          <w:bCs/>
          <w:color w:val="auto"/>
        </w:rPr>
        <w:t xml:space="preserve">4.4 Conditions </w:t>
      </w:r>
    </w:p>
    <w:p w:rsidR="00557FD6" w:rsidRPr="008737B6" w:rsidRDefault="00557FD6" w:rsidP="00383F79">
      <w:pPr>
        <w:pStyle w:val="Default"/>
        <w:jc w:val="both"/>
        <w:rPr>
          <w:rFonts w:ascii="Humanst521 BT" w:hAnsi="Humanst521 BT"/>
          <w:color w:val="auto"/>
        </w:rPr>
      </w:pPr>
      <w:r w:rsidRPr="008737B6">
        <w:rPr>
          <w:rFonts w:ascii="Humanst521 BT" w:hAnsi="Humanst521 BT"/>
          <w:color w:val="auto"/>
        </w:rPr>
        <w:t xml:space="preserve">Buildings that are relocated are often in poor condition and as such the local government may impose conditions to ensure the building presentation is of an acceptable standard to enhance the streetscape appearance. Such conditions may include (but are not limited to) the following: </w:t>
      </w:r>
    </w:p>
    <w:p w:rsidR="00557FD6" w:rsidRPr="008737B6" w:rsidRDefault="00672D2F" w:rsidP="00383F79">
      <w:pPr>
        <w:pStyle w:val="Default"/>
        <w:ind w:left="567" w:hanging="567"/>
        <w:jc w:val="both"/>
        <w:rPr>
          <w:rFonts w:ascii="Humanst521 BT" w:hAnsi="Humanst521 BT"/>
          <w:color w:val="auto"/>
        </w:rPr>
      </w:pPr>
      <w:r>
        <w:rPr>
          <w:rFonts w:ascii="Humanst521 BT" w:hAnsi="Humanst521 BT"/>
          <w:color w:val="auto"/>
        </w:rPr>
        <w:lastRenderedPageBreak/>
        <w:t>a.</w:t>
      </w:r>
      <w:r>
        <w:rPr>
          <w:rFonts w:ascii="Humanst521 BT" w:hAnsi="Humanst521 BT"/>
          <w:color w:val="auto"/>
        </w:rPr>
        <w:tab/>
      </w:r>
      <w:r w:rsidR="00557FD6" w:rsidRPr="008737B6">
        <w:rPr>
          <w:rFonts w:ascii="Humanst521 BT" w:hAnsi="Humanst521 BT"/>
          <w:color w:val="auto"/>
        </w:rPr>
        <w:t xml:space="preserve">need for additional setbacks over and above the prescribed minimum and the need for screening/landscaping; </w:t>
      </w:r>
    </w:p>
    <w:p w:rsidR="00557FD6" w:rsidRPr="008737B6" w:rsidRDefault="00672D2F" w:rsidP="00383F79">
      <w:pPr>
        <w:pStyle w:val="Default"/>
        <w:ind w:left="567" w:hanging="567"/>
        <w:jc w:val="both"/>
        <w:rPr>
          <w:rFonts w:ascii="Humanst521 BT" w:hAnsi="Humanst521 BT"/>
          <w:color w:val="auto"/>
        </w:rPr>
      </w:pPr>
      <w:r>
        <w:rPr>
          <w:rFonts w:ascii="Humanst521 BT" w:hAnsi="Humanst521 BT"/>
          <w:color w:val="auto"/>
        </w:rPr>
        <w:t>b.</w:t>
      </w:r>
      <w:r>
        <w:rPr>
          <w:rFonts w:ascii="Humanst521 BT" w:hAnsi="Humanst521 BT"/>
          <w:color w:val="auto"/>
        </w:rPr>
        <w:tab/>
      </w:r>
      <w:r w:rsidR="00557FD6" w:rsidRPr="008737B6">
        <w:rPr>
          <w:rFonts w:ascii="Humanst521 BT" w:hAnsi="Humanst521 BT"/>
          <w:color w:val="auto"/>
        </w:rPr>
        <w:t xml:space="preserve">a bond/bank guarantee and legal agreement to ensure the external appearance of the relocated building has completed to the approval of the local government; </w:t>
      </w:r>
    </w:p>
    <w:p w:rsidR="00557FD6" w:rsidRPr="008737B6" w:rsidRDefault="00672D2F" w:rsidP="00383F79">
      <w:pPr>
        <w:pStyle w:val="Default"/>
        <w:ind w:left="567" w:hanging="567"/>
        <w:jc w:val="both"/>
        <w:rPr>
          <w:rFonts w:ascii="Humanst521 BT" w:hAnsi="Humanst521 BT"/>
          <w:color w:val="auto"/>
        </w:rPr>
      </w:pPr>
      <w:r>
        <w:rPr>
          <w:rFonts w:ascii="Humanst521 BT" w:hAnsi="Humanst521 BT"/>
          <w:color w:val="auto"/>
        </w:rPr>
        <w:t>c.</w:t>
      </w:r>
      <w:r>
        <w:rPr>
          <w:rFonts w:ascii="Humanst521 BT" w:hAnsi="Humanst521 BT"/>
          <w:color w:val="auto"/>
        </w:rPr>
        <w:tab/>
      </w:r>
      <w:r w:rsidR="00557FD6" w:rsidRPr="008737B6">
        <w:rPr>
          <w:rFonts w:ascii="Humanst521 BT" w:hAnsi="Humanst521 BT"/>
          <w:color w:val="auto"/>
        </w:rPr>
        <w:t xml:space="preserve">the space between the ground level and the floor level being suitably enclosed; and </w:t>
      </w:r>
    </w:p>
    <w:p w:rsidR="00557FD6" w:rsidRPr="008737B6" w:rsidRDefault="00557FD6" w:rsidP="00383F79">
      <w:pPr>
        <w:pStyle w:val="Default"/>
        <w:ind w:left="567" w:hanging="567"/>
        <w:jc w:val="both"/>
        <w:rPr>
          <w:rFonts w:ascii="Humanst521 BT" w:hAnsi="Humanst521 BT"/>
          <w:color w:val="auto"/>
        </w:rPr>
      </w:pPr>
      <w:r w:rsidRPr="008737B6">
        <w:rPr>
          <w:rFonts w:ascii="Humanst521 BT" w:hAnsi="Humanst521 BT"/>
          <w:color w:val="auto"/>
        </w:rPr>
        <w:t>d.</w:t>
      </w:r>
      <w:r w:rsidR="00672D2F">
        <w:rPr>
          <w:rFonts w:ascii="Humanst521 BT" w:hAnsi="Humanst521 BT"/>
          <w:color w:val="auto"/>
        </w:rPr>
        <w:tab/>
      </w:r>
      <w:r w:rsidRPr="008737B6">
        <w:rPr>
          <w:rFonts w:ascii="Humanst521 BT" w:hAnsi="Humanst521 BT"/>
          <w:color w:val="auto"/>
        </w:rPr>
        <w:t xml:space="preserve">the roof and/or walls being clad of non-reflective materials and be consistent or complimentary in colour with the surrounding natural landscape features or desired streetscape. </w:t>
      </w:r>
    </w:p>
    <w:p w:rsidR="00672D2F" w:rsidRDefault="00672D2F" w:rsidP="00383F79">
      <w:pPr>
        <w:pStyle w:val="Default"/>
        <w:jc w:val="both"/>
        <w:rPr>
          <w:rFonts w:ascii="Humanst521 BT" w:hAnsi="Humanst521 BT"/>
          <w:b/>
          <w:bCs/>
          <w:color w:val="auto"/>
        </w:rPr>
      </w:pPr>
    </w:p>
    <w:p w:rsidR="00557FD6" w:rsidRPr="008737B6" w:rsidRDefault="00557FD6" w:rsidP="00383F79">
      <w:pPr>
        <w:pStyle w:val="Default"/>
        <w:jc w:val="both"/>
        <w:rPr>
          <w:rFonts w:ascii="Humanst521 BT" w:hAnsi="Humanst521 BT"/>
          <w:color w:val="auto"/>
        </w:rPr>
      </w:pPr>
      <w:r w:rsidRPr="008737B6">
        <w:rPr>
          <w:rFonts w:ascii="Humanst521 BT" w:hAnsi="Humanst521 BT"/>
          <w:b/>
          <w:bCs/>
          <w:color w:val="auto"/>
        </w:rPr>
        <w:t xml:space="preserve">4.5 Bonds/Guarantees </w:t>
      </w:r>
    </w:p>
    <w:p w:rsidR="00672D2F" w:rsidRDefault="00557FD6" w:rsidP="00383F79">
      <w:pPr>
        <w:pStyle w:val="Default"/>
        <w:jc w:val="both"/>
        <w:rPr>
          <w:rFonts w:ascii="Humanst521 BT" w:hAnsi="Humanst521 BT"/>
          <w:color w:val="auto"/>
        </w:rPr>
      </w:pPr>
      <w:r w:rsidRPr="008737B6">
        <w:rPr>
          <w:rFonts w:ascii="Humanst521 BT" w:hAnsi="Humanst521 BT"/>
          <w:color w:val="auto"/>
        </w:rPr>
        <w:t>Prior to the issue of any building licence for a relocated building the local government shall require the lodging of</w:t>
      </w:r>
      <w:r w:rsidR="00672D2F">
        <w:rPr>
          <w:rFonts w:ascii="Humanst521 BT" w:hAnsi="Humanst521 BT"/>
          <w:color w:val="auto"/>
        </w:rPr>
        <w:t xml:space="preserve"> </w:t>
      </w:r>
    </w:p>
    <w:p w:rsidR="000C53B6" w:rsidRPr="008737B6" w:rsidRDefault="000C53B6" w:rsidP="00383F79">
      <w:pPr>
        <w:pStyle w:val="Default"/>
        <w:ind w:left="567" w:hanging="567"/>
        <w:jc w:val="both"/>
        <w:rPr>
          <w:rFonts w:ascii="Humanst521 BT" w:hAnsi="Humanst521 BT"/>
          <w:color w:val="auto"/>
        </w:rPr>
      </w:pPr>
      <w:r w:rsidRPr="008737B6">
        <w:rPr>
          <w:rFonts w:ascii="Humanst521 BT" w:hAnsi="Humanst521 BT"/>
          <w:color w:val="auto"/>
        </w:rPr>
        <w:t>a.</w:t>
      </w:r>
      <w:r w:rsidR="00672D2F">
        <w:rPr>
          <w:rFonts w:ascii="Humanst521 BT" w:hAnsi="Humanst521 BT"/>
          <w:color w:val="auto"/>
        </w:rPr>
        <w:tab/>
      </w:r>
      <w:r w:rsidRPr="008737B6">
        <w:rPr>
          <w:rFonts w:ascii="Humanst521 BT" w:hAnsi="Humanst521 BT"/>
          <w:color w:val="auto"/>
        </w:rPr>
        <w:t xml:space="preserve">a bond amount equivalent to 20% of the estimated value of the approved works to be undertaken to ensure the building presentation is of an acceptable standard, with a minimum amount of $5,000 for residential houses; </w:t>
      </w:r>
    </w:p>
    <w:p w:rsidR="000C53B6" w:rsidRPr="008737B6" w:rsidRDefault="000C53B6" w:rsidP="00383F79">
      <w:pPr>
        <w:pStyle w:val="Default"/>
        <w:ind w:left="567" w:hanging="567"/>
        <w:jc w:val="both"/>
        <w:rPr>
          <w:rFonts w:ascii="Humanst521 BT" w:hAnsi="Humanst521 BT"/>
          <w:color w:val="auto"/>
        </w:rPr>
      </w:pPr>
      <w:r w:rsidRPr="008737B6">
        <w:rPr>
          <w:rFonts w:ascii="Humanst521 BT" w:hAnsi="Humanst521 BT"/>
          <w:color w:val="auto"/>
        </w:rPr>
        <w:t>b.</w:t>
      </w:r>
      <w:r w:rsidR="00672D2F">
        <w:rPr>
          <w:rFonts w:ascii="Humanst521 BT" w:hAnsi="Humanst521 BT"/>
          <w:color w:val="auto"/>
        </w:rPr>
        <w:tab/>
      </w:r>
      <w:r w:rsidRPr="008737B6">
        <w:rPr>
          <w:rFonts w:ascii="Humanst521 BT" w:hAnsi="Humanst521 BT"/>
          <w:color w:val="auto"/>
        </w:rPr>
        <w:t xml:space="preserve">a bond amount equivalent to 10% of the estimated value of the approved works to be undertaken to ensure the building presentation is of an acceptable standard, with a minimum amount of $1,000 for other buildings (such as sheds or the like); and </w:t>
      </w:r>
    </w:p>
    <w:p w:rsidR="000C53B6" w:rsidRPr="008737B6" w:rsidRDefault="00672D2F" w:rsidP="00383F79">
      <w:pPr>
        <w:pStyle w:val="Default"/>
        <w:ind w:left="567" w:hanging="567"/>
        <w:jc w:val="both"/>
        <w:rPr>
          <w:rFonts w:ascii="Humanst521 BT" w:hAnsi="Humanst521 BT"/>
          <w:color w:val="auto"/>
        </w:rPr>
      </w:pPr>
      <w:r>
        <w:rPr>
          <w:rFonts w:ascii="Humanst521 BT" w:hAnsi="Humanst521 BT"/>
          <w:color w:val="auto"/>
        </w:rPr>
        <w:t>c.</w:t>
      </w:r>
      <w:r>
        <w:rPr>
          <w:rFonts w:ascii="Humanst521 BT" w:hAnsi="Humanst521 BT"/>
          <w:color w:val="auto"/>
        </w:rPr>
        <w:tab/>
      </w:r>
      <w:r w:rsidR="000C53B6" w:rsidRPr="008737B6">
        <w:rPr>
          <w:rFonts w:ascii="Humanst521 BT" w:hAnsi="Humanst521 BT"/>
          <w:color w:val="auto"/>
        </w:rPr>
        <w:t xml:space="preserve">a legal agreement stating that the bond will be forfeited if the approved works are not carried out within the approved timeframe. </w:t>
      </w:r>
    </w:p>
    <w:p w:rsidR="00672D2F" w:rsidRDefault="00672D2F" w:rsidP="00383F79">
      <w:pPr>
        <w:pStyle w:val="Default"/>
        <w:jc w:val="both"/>
        <w:rPr>
          <w:rFonts w:ascii="Humanst521 BT" w:hAnsi="Humanst521 BT"/>
          <w:b/>
          <w:bCs/>
          <w:color w:val="auto"/>
        </w:rPr>
      </w:pPr>
    </w:p>
    <w:p w:rsidR="000C53B6" w:rsidRPr="008737B6" w:rsidRDefault="000C53B6" w:rsidP="00383F79">
      <w:pPr>
        <w:pStyle w:val="Default"/>
        <w:jc w:val="both"/>
        <w:rPr>
          <w:rFonts w:ascii="Humanst521 BT" w:hAnsi="Humanst521 BT"/>
          <w:color w:val="auto"/>
        </w:rPr>
      </w:pPr>
      <w:r w:rsidRPr="008737B6">
        <w:rPr>
          <w:rFonts w:ascii="Humanst521 BT" w:hAnsi="Humanst521 BT"/>
          <w:b/>
          <w:bCs/>
          <w:color w:val="auto"/>
        </w:rPr>
        <w:t xml:space="preserve">4.6 Application Requirements </w:t>
      </w:r>
    </w:p>
    <w:p w:rsidR="00A94F46" w:rsidRDefault="00A94F46" w:rsidP="00383F79">
      <w:pPr>
        <w:pStyle w:val="Default"/>
        <w:ind w:left="567" w:hanging="567"/>
        <w:jc w:val="both"/>
        <w:rPr>
          <w:rFonts w:ascii="Humanst521 BT" w:hAnsi="Humanst521 BT"/>
          <w:color w:val="auto"/>
        </w:rPr>
      </w:pPr>
    </w:p>
    <w:p w:rsidR="000C53B6" w:rsidRPr="008737B6" w:rsidRDefault="000C53B6" w:rsidP="00383F79">
      <w:pPr>
        <w:pStyle w:val="Default"/>
        <w:ind w:left="567" w:hanging="567"/>
        <w:jc w:val="both"/>
        <w:rPr>
          <w:rFonts w:ascii="Humanst521 BT" w:hAnsi="Humanst521 BT"/>
          <w:color w:val="auto"/>
        </w:rPr>
      </w:pPr>
      <w:r w:rsidRPr="008737B6">
        <w:rPr>
          <w:rFonts w:ascii="Humanst521 BT" w:hAnsi="Humanst521 BT"/>
          <w:color w:val="auto"/>
        </w:rPr>
        <w:t xml:space="preserve">4.6.1 Photographs will need to be submitted that clearly illustrate the in-situ condition and appearance of the entire building (all sides and roof). </w:t>
      </w:r>
    </w:p>
    <w:p w:rsidR="000C53B6" w:rsidRPr="008737B6" w:rsidRDefault="000C53B6" w:rsidP="00383F79">
      <w:pPr>
        <w:pStyle w:val="Default"/>
        <w:ind w:left="567" w:hanging="567"/>
        <w:jc w:val="both"/>
        <w:rPr>
          <w:rFonts w:ascii="Humanst521 BT" w:hAnsi="Humanst521 BT"/>
          <w:color w:val="auto"/>
        </w:rPr>
      </w:pPr>
      <w:r w:rsidRPr="008737B6">
        <w:rPr>
          <w:rFonts w:ascii="Humanst521 BT" w:hAnsi="Humanst521 BT"/>
          <w:color w:val="auto"/>
        </w:rPr>
        <w:t xml:space="preserve">4.6.2 Clear and concise details of proposed works to be undertaken to ensure the relocated building presentation is of an acceptable standard to that of the locality. This will generally include elevations of the proposed finished works. </w:t>
      </w:r>
    </w:p>
    <w:p w:rsidR="000C53B6" w:rsidRPr="008737B6" w:rsidRDefault="000C53B6" w:rsidP="00383F79">
      <w:pPr>
        <w:pStyle w:val="Default"/>
        <w:ind w:left="567" w:hanging="567"/>
        <w:jc w:val="both"/>
        <w:rPr>
          <w:rFonts w:ascii="Humanst521 BT" w:hAnsi="Humanst521 BT"/>
          <w:color w:val="auto"/>
        </w:rPr>
      </w:pPr>
      <w:r w:rsidRPr="008737B6">
        <w:rPr>
          <w:rFonts w:ascii="Humanst521 BT" w:hAnsi="Humanst521 BT"/>
          <w:color w:val="auto"/>
        </w:rPr>
        <w:t xml:space="preserve">4.6.3 A clear timeframe for the completion of the above works, with such time frame to be a short as practicable and a maximum of 12 months. </w:t>
      </w:r>
    </w:p>
    <w:p w:rsidR="000C53B6" w:rsidRPr="008737B6" w:rsidRDefault="000C53B6" w:rsidP="00383F79">
      <w:pPr>
        <w:pStyle w:val="Default"/>
        <w:ind w:left="567" w:hanging="567"/>
        <w:jc w:val="both"/>
        <w:rPr>
          <w:rFonts w:ascii="Humanst521 BT" w:hAnsi="Humanst521 BT"/>
          <w:color w:val="auto"/>
        </w:rPr>
      </w:pPr>
      <w:r w:rsidRPr="008737B6">
        <w:rPr>
          <w:rFonts w:ascii="Humanst521 BT" w:hAnsi="Humanst521 BT"/>
          <w:color w:val="auto"/>
        </w:rPr>
        <w:t xml:space="preserve">4.6.4 Any other additional information required to demonstrate that the building will be aesthetically acceptable and comply with the objectives of this policy. </w:t>
      </w:r>
    </w:p>
    <w:p w:rsidR="00672D2F" w:rsidRDefault="00672D2F" w:rsidP="000C53B6">
      <w:pPr>
        <w:pStyle w:val="Default"/>
        <w:rPr>
          <w:rFonts w:ascii="Humanst521 BT" w:hAnsi="Humanst521 BT"/>
          <w:b/>
          <w:bCs/>
          <w:color w:val="auto"/>
        </w:rPr>
      </w:pPr>
    </w:p>
    <w:p w:rsidR="000C53B6" w:rsidRPr="008737B6" w:rsidRDefault="000C53B6" w:rsidP="00383F79">
      <w:pPr>
        <w:pStyle w:val="Default"/>
        <w:jc w:val="both"/>
        <w:rPr>
          <w:rFonts w:ascii="Humanst521 BT" w:hAnsi="Humanst521 BT"/>
          <w:color w:val="auto"/>
        </w:rPr>
      </w:pPr>
      <w:r w:rsidRPr="008737B6">
        <w:rPr>
          <w:rFonts w:ascii="Humanst521 BT" w:hAnsi="Humanst521 BT"/>
          <w:b/>
          <w:bCs/>
          <w:color w:val="auto"/>
        </w:rPr>
        <w:t xml:space="preserve">4.7 Consultation </w:t>
      </w:r>
    </w:p>
    <w:p w:rsidR="000C53B6" w:rsidRPr="008737B6" w:rsidRDefault="000C53B6" w:rsidP="00383F79">
      <w:pPr>
        <w:pStyle w:val="Default"/>
        <w:jc w:val="both"/>
        <w:rPr>
          <w:rFonts w:ascii="Humanst521 BT" w:hAnsi="Humanst521 BT"/>
          <w:color w:val="auto"/>
        </w:rPr>
      </w:pPr>
      <w:r w:rsidRPr="008737B6">
        <w:rPr>
          <w:rFonts w:ascii="Humanst521 BT" w:hAnsi="Humanst521 BT"/>
          <w:color w:val="auto"/>
        </w:rPr>
        <w:t xml:space="preserve">The local government may choose to advertise an application should it be concerned at the appearance or proposed location of the relocated dwelling. </w:t>
      </w:r>
    </w:p>
    <w:p w:rsidR="00672D2F" w:rsidRDefault="00672D2F" w:rsidP="00383F79">
      <w:pPr>
        <w:pStyle w:val="Default"/>
        <w:jc w:val="both"/>
        <w:rPr>
          <w:rFonts w:ascii="Humanst521 BT" w:hAnsi="Humanst521 BT"/>
          <w:b/>
          <w:bCs/>
          <w:color w:val="auto"/>
        </w:rPr>
      </w:pPr>
    </w:p>
    <w:p w:rsidR="000C53B6" w:rsidRPr="008737B6" w:rsidRDefault="000C53B6" w:rsidP="00383F79">
      <w:pPr>
        <w:pStyle w:val="Default"/>
        <w:jc w:val="both"/>
        <w:rPr>
          <w:rFonts w:ascii="Humanst521 BT" w:hAnsi="Humanst521 BT"/>
          <w:color w:val="auto"/>
        </w:rPr>
      </w:pPr>
      <w:r w:rsidRPr="008737B6">
        <w:rPr>
          <w:rFonts w:ascii="Humanst521 BT" w:hAnsi="Humanst521 BT"/>
          <w:b/>
          <w:bCs/>
          <w:color w:val="auto"/>
        </w:rPr>
        <w:t xml:space="preserve">5.0 REFERENCE: </w:t>
      </w:r>
    </w:p>
    <w:p w:rsidR="000C53B6" w:rsidRPr="008737B6" w:rsidRDefault="000C53B6" w:rsidP="00383F79">
      <w:pPr>
        <w:pStyle w:val="Default"/>
        <w:jc w:val="both"/>
        <w:rPr>
          <w:rFonts w:ascii="Humanst521 BT" w:hAnsi="Humanst521 BT"/>
          <w:color w:val="auto"/>
        </w:rPr>
      </w:pPr>
      <w:r w:rsidRPr="008737B6">
        <w:rPr>
          <w:rFonts w:ascii="Humanst521 BT" w:hAnsi="Humanst521 BT"/>
          <w:color w:val="auto"/>
        </w:rPr>
        <w:t xml:space="preserve">The </w:t>
      </w:r>
      <w:r w:rsidR="00557FD6">
        <w:rPr>
          <w:rFonts w:ascii="Humanst521 BT" w:hAnsi="Humanst521 BT"/>
          <w:color w:val="auto"/>
        </w:rPr>
        <w:t>Shire of Moora</w:t>
      </w:r>
      <w:r w:rsidRPr="008737B6">
        <w:rPr>
          <w:rFonts w:ascii="Humanst521 BT" w:hAnsi="Humanst521 BT"/>
          <w:color w:val="auto"/>
        </w:rPr>
        <w:t xml:space="preserve"> Town Planning Scheme(s) and the Planning &amp; Development Act 2005. </w:t>
      </w:r>
    </w:p>
    <w:p w:rsidR="00672D2F" w:rsidRDefault="00672D2F" w:rsidP="000C53B6">
      <w:pPr>
        <w:pStyle w:val="Default"/>
        <w:rPr>
          <w:rFonts w:ascii="Humanst521 BT" w:hAnsi="Humanst521 BT"/>
          <w:b/>
          <w:bCs/>
          <w:color w:val="auto"/>
        </w:rPr>
      </w:pPr>
    </w:p>
    <w:p w:rsidR="00A94F46" w:rsidRDefault="00A94F46" w:rsidP="000C53B6">
      <w:pPr>
        <w:pStyle w:val="Default"/>
        <w:rPr>
          <w:rFonts w:ascii="Humanst521 BT" w:hAnsi="Humanst521 BT"/>
          <w:b/>
          <w:bCs/>
          <w:color w:val="auto"/>
        </w:rPr>
      </w:pPr>
    </w:p>
    <w:p w:rsidR="00A94F46" w:rsidRDefault="00A94F46" w:rsidP="000C53B6">
      <w:pPr>
        <w:pStyle w:val="Default"/>
        <w:rPr>
          <w:rFonts w:ascii="Humanst521 BT" w:hAnsi="Humanst521 BT"/>
          <w:b/>
          <w:bCs/>
          <w:color w:val="auto"/>
        </w:rPr>
      </w:pPr>
    </w:p>
    <w:p w:rsidR="00920E98" w:rsidRDefault="00920E98" w:rsidP="000C53B6">
      <w:pPr>
        <w:pStyle w:val="Default"/>
        <w:rPr>
          <w:rFonts w:ascii="Humanst521 BT" w:hAnsi="Humanst521 BT"/>
          <w:b/>
          <w:bCs/>
          <w:color w:val="auto"/>
        </w:rPr>
      </w:pPr>
    </w:p>
    <w:p w:rsidR="00920E98" w:rsidRDefault="00920E98" w:rsidP="000C53B6">
      <w:pPr>
        <w:pStyle w:val="Default"/>
        <w:rPr>
          <w:rFonts w:ascii="Humanst521 BT" w:hAnsi="Humanst521 BT"/>
          <w:b/>
          <w:bCs/>
          <w:color w:val="auto"/>
        </w:rPr>
      </w:pPr>
    </w:p>
    <w:p w:rsidR="000C53B6" w:rsidRPr="008737B6" w:rsidRDefault="000C53B6" w:rsidP="000C53B6">
      <w:pPr>
        <w:pStyle w:val="Default"/>
        <w:rPr>
          <w:rFonts w:ascii="Humanst521 BT" w:hAnsi="Humanst521 BT"/>
          <w:color w:val="auto"/>
        </w:rPr>
      </w:pPr>
      <w:r w:rsidRPr="008737B6">
        <w:rPr>
          <w:rFonts w:ascii="Humanst521 BT" w:hAnsi="Humanst521 BT"/>
          <w:b/>
          <w:bCs/>
          <w:color w:val="auto"/>
        </w:rPr>
        <w:lastRenderedPageBreak/>
        <w:t xml:space="preserve">6.0 RESPONSIBILITIES: </w:t>
      </w:r>
    </w:p>
    <w:p w:rsidR="000C53B6" w:rsidRPr="008737B6" w:rsidRDefault="000C53B6" w:rsidP="00383F79">
      <w:pPr>
        <w:pStyle w:val="Default"/>
        <w:jc w:val="both"/>
        <w:rPr>
          <w:rFonts w:ascii="Humanst521 BT" w:hAnsi="Humanst521 BT"/>
          <w:color w:val="auto"/>
        </w:rPr>
      </w:pPr>
      <w:r w:rsidRPr="008737B6">
        <w:rPr>
          <w:rFonts w:ascii="Humanst521 BT" w:hAnsi="Humanst521 BT"/>
          <w:color w:val="auto"/>
        </w:rPr>
        <w:t xml:space="preserve">The Town Planning Department as per the Delegations Policy and Register and further authority is delegated to the Chief Executive Officer to advertise any application (Clause 4.7). </w:t>
      </w:r>
    </w:p>
    <w:p w:rsidR="00672D2F" w:rsidRDefault="00672D2F" w:rsidP="00383F79">
      <w:pPr>
        <w:pStyle w:val="Default"/>
        <w:jc w:val="both"/>
        <w:rPr>
          <w:rFonts w:ascii="Humanst521 BT" w:hAnsi="Humanst521 BT"/>
          <w:b/>
          <w:bCs/>
          <w:color w:val="auto"/>
        </w:rPr>
      </w:pPr>
    </w:p>
    <w:p w:rsidR="000C53B6" w:rsidRPr="008737B6" w:rsidRDefault="000C53B6" w:rsidP="00383F79">
      <w:pPr>
        <w:pStyle w:val="Default"/>
        <w:jc w:val="both"/>
        <w:rPr>
          <w:rFonts w:ascii="Humanst521 BT" w:hAnsi="Humanst521 BT"/>
          <w:color w:val="auto"/>
        </w:rPr>
      </w:pPr>
      <w:r w:rsidRPr="008737B6">
        <w:rPr>
          <w:rFonts w:ascii="Humanst521 BT" w:hAnsi="Humanst521 BT"/>
          <w:b/>
          <w:bCs/>
          <w:color w:val="auto"/>
        </w:rPr>
        <w:t xml:space="preserve">7.0 ADOPTION: </w:t>
      </w:r>
    </w:p>
    <w:p w:rsidR="008737B6" w:rsidRDefault="000C53B6" w:rsidP="00383F79">
      <w:pPr>
        <w:pStyle w:val="Default"/>
        <w:jc w:val="both"/>
        <w:rPr>
          <w:rFonts w:ascii="Humanst521 BT" w:hAnsi="Humanst521 BT"/>
          <w:color w:val="auto"/>
        </w:rPr>
      </w:pPr>
      <w:r w:rsidRPr="008737B6">
        <w:rPr>
          <w:rFonts w:ascii="Humanst521 BT" w:hAnsi="Humanst521 BT"/>
          <w:color w:val="auto"/>
        </w:rPr>
        <w:t xml:space="preserve">Version 1 (draft for advertising) </w:t>
      </w:r>
      <w:r w:rsidR="008737B6">
        <w:rPr>
          <w:rFonts w:ascii="Humanst521 BT" w:hAnsi="Humanst521 BT"/>
          <w:color w:val="auto"/>
        </w:rPr>
        <w:t>21</w:t>
      </w:r>
      <w:r w:rsidR="00920E98">
        <w:rPr>
          <w:rFonts w:ascii="Humanst521 BT" w:hAnsi="Humanst521 BT"/>
          <w:color w:val="auto"/>
          <w:vertAlign w:val="superscript"/>
        </w:rPr>
        <w:t>st</w:t>
      </w:r>
      <w:r w:rsidR="008737B6">
        <w:rPr>
          <w:rFonts w:ascii="Humanst521 BT" w:hAnsi="Humanst521 BT"/>
          <w:color w:val="auto"/>
        </w:rPr>
        <w:t xml:space="preserve"> November </w:t>
      </w:r>
      <w:r w:rsidR="00383F79">
        <w:rPr>
          <w:rFonts w:ascii="Humanst521 BT" w:hAnsi="Humanst521 BT"/>
          <w:color w:val="auto"/>
        </w:rPr>
        <w:t>2012</w:t>
      </w:r>
      <w:r w:rsidR="00383F79" w:rsidRPr="008737B6">
        <w:rPr>
          <w:rFonts w:ascii="Humanst521 BT" w:hAnsi="Humanst521 BT"/>
          <w:color w:val="auto"/>
        </w:rPr>
        <w:t xml:space="preserve"> </w:t>
      </w:r>
      <w:r w:rsidR="00383F79">
        <w:rPr>
          <w:rFonts w:ascii="Humanst521 BT" w:hAnsi="Humanst521 BT"/>
          <w:color w:val="auto"/>
        </w:rPr>
        <w:t>(</w:t>
      </w:r>
      <w:r w:rsidRPr="008737B6">
        <w:rPr>
          <w:rFonts w:ascii="Humanst521 BT" w:hAnsi="Humanst521 BT"/>
          <w:color w:val="auto"/>
        </w:rPr>
        <w:t xml:space="preserve">no submissions received) </w:t>
      </w:r>
    </w:p>
    <w:p w:rsidR="00FA666F" w:rsidRDefault="00FA666F" w:rsidP="00FA666F">
      <w:pPr>
        <w:pStyle w:val="Default"/>
        <w:rPr>
          <w:rFonts w:ascii="Humanst521 BT" w:hAnsi="Humanst521 BT"/>
        </w:rPr>
      </w:pPr>
      <w:r>
        <w:rPr>
          <w:rFonts w:ascii="Humanst521 BT" w:hAnsi="Humanst521 BT"/>
          <w:color w:val="auto"/>
        </w:rPr>
        <w:t>Version 2 – Adopted by Council 20 February 2013 (Resolution No. 17/13)</w:t>
      </w:r>
    </w:p>
    <w:p w:rsidR="000C53B6" w:rsidRPr="008737B6" w:rsidRDefault="000C53B6" w:rsidP="00FA666F">
      <w:pPr>
        <w:pStyle w:val="Default"/>
        <w:rPr>
          <w:rFonts w:ascii="Humanst521 BT" w:hAnsi="Humanst521 BT"/>
        </w:rPr>
      </w:pPr>
    </w:p>
    <w:sectPr w:rsidR="000C53B6" w:rsidRPr="008737B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333" w:rsidRDefault="00FA6333" w:rsidP="008737B6">
      <w:r>
        <w:separator/>
      </w:r>
    </w:p>
  </w:endnote>
  <w:endnote w:type="continuationSeparator" w:id="0">
    <w:p w:rsidR="00FA6333" w:rsidRDefault="00FA6333" w:rsidP="0087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panose1 w:val="020B06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2"/>
      <w:gridCol w:w="7630"/>
    </w:tblGrid>
    <w:tr w:rsidR="008737B6">
      <w:tc>
        <w:tcPr>
          <w:tcW w:w="918" w:type="dxa"/>
        </w:tcPr>
        <w:p w:rsidR="008737B6" w:rsidRPr="00A7108B" w:rsidRDefault="008737B6">
          <w:pPr>
            <w:pStyle w:val="Footer"/>
            <w:jc w:val="right"/>
            <w:rPr>
              <w:rFonts w:ascii="Humanst521 BT" w:hAnsi="Humanst521 BT"/>
              <w:b/>
              <w:bCs/>
              <w:color w:val="4F81BD" w:themeColor="accent1"/>
              <w:sz w:val="20"/>
              <w:szCs w:val="20"/>
              <w14:numForm w14:val="oldStyle"/>
            </w:rPr>
          </w:pPr>
          <w:r w:rsidRPr="00A7108B">
            <w:rPr>
              <w:rFonts w:ascii="Humanst521 BT" w:hAnsi="Humanst521 BT"/>
              <w:sz w:val="20"/>
              <w:szCs w:val="20"/>
              <w14:shadow w14:blurRad="50800" w14:dist="38100" w14:dir="2700000" w14:sx="100000" w14:sy="100000" w14:kx="0" w14:ky="0" w14:algn="tl">
                <w14:srgbClr w14:val="000000">
                  <w14:alpha w14:val="60000"/>
                </w14:srgbClr>
              </w14:shadow>
              <w14:numForm w14:val="oldStyle"/>
            </w:rPr>
            <w:fldChar w:fldCharType="begin"/>
          </w:r>
          <w:r w:rsidRPr="00A7108B">
            <w:rPr>
              <w:rFonts w:ascii="Humanst521 BT" w:hAnsi="Humanst521 BT"/>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A7108B">
            <w:rPr>
              <w:rFonts w:ascii="Humanst521 BT" w:hAnsi="Humanst521 BT"/>
              <w:sz w:val="20"/>
              <w:szCs w:val="20"/>
              <w14:shadow w14:blurRad="50800" w14:dist="38100" w14:dir="2700000" w14:sx="100000" w14:sy="100000" w14:kx="0" w14:ky="0" w14:algn="tl">
                <w14:srgbClr w14:val="000000">
                  <w14:alpha w14:val="60000"/>
                </w14:srgbClr>
              </w14:shadow>
              <w14:numForm w14:val="oldStyle"/>
            </w:rPr>
            <w:fldChar w:fldCharType="separate"/>
          </w:r>
          <w:r w:rsidR="00080615" w:rsidRPr="00080615">
            <w:rPr>
              <w:rFonts w:ascii="Humanst521 BT" w:hAnsi="Humanst521 BT"/>
              <w:b/>
              <w:bCs/>
              <w:noProof/>
              <w:color w:val="4F81BD" w:themeColor="accent1"/>
              <w:sz w:val="20"/>
              <w:szCs w:val="20"/>
              <w14:shadow w14:blurRad="50800" w14:dist="38100" w14:dir="2700000" w14:sx="100000" w14:sy="100000" w14:kx="0" w14:ky="0" w14:algn="tl">
                <w14:srgbClr w14:val="000000">
                  <w14:alpha w14:val="60000"/>
                </w14:srgbClr>
              </w14:shadow>
              <w14:numForm w14:val="oldStyle"/>
            </w:rPr>
            <w:t>2</w:t>
          </w:r>
          <w:r w:rsidRPr="00A7108B">
            <w:rPr>
              <w:rFonts w:ascii="Humanst521 BT" w:hAnsi="Humanst521 BT"/>
              <w:b/>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737B6" w:rsidRPr="00A7108B" w:rsidRDefault="008737B6" w:rsidP="00181653">
          <w:pPr>
            <w:pStyle w:val="Footer"/>
            <w:rPr>
              <w:rFonts w:ascii="Humanst521 BT" w:hAnsi="Humanst521 BT"/>
              <w:sz w:val="20"/>
              <w:szCs w:val="20"/>
            </w:rPr>
          </w:pPr>
          <w:r w:rsidRPr="00A7108B">
            <w:rPr>
              <w:rFonts w:ascii="Humanst521 BT" w:hAnsi="Humanst521 BT"/>
              <w:sz w:val="20"/>
              <w:szCs w:val="20"/>
            </w:rPr>
            <w:t xml:space="preserve">VERSION </w:t>
          </w:r>
          <w:r w:rsidR="00181653" w:rsidRPr="00A7108B">
            <w:rPr>
              <w:rFonts w:ascii="Humanst521 BT" w:hAnsi="Humanst521 BT"/>
              <w:sz w:val="20"/>
              <w:szCs w:val="20"/>
            </w:rPr>
            <w:t>2</w:t>
          </w:r>
        </w:p>
      </w:tc>
    </w:tr>
  </w:tbl>
  <w:p w:rsidR="008737B6" w:rsidRDefault="00873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333" w:rsidRDefault="00FA6333" w:rsidP="008737B6">
      <w:r>
        <w:separator/>
      </w:r>
    </w:p>
  </w:footnote>
  <w:footnote w:type="continuationSeparator" w:id="0">
    <w:p w:rsidR="00FA6333" w:rsidRDefault="00FA6333" w:rsidP="00873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B6"/>
    <w:rsid w:val="0003713A"/>
    <w:rsid w:val="00080615"/>
    <w:rsid w:val="000C53B6"/>
    <w:rsid w:val="001066C3"/>
    <w:rsid w:val="00181653"/>
    <w:rsid w:val="001D03F0"/>
    <w:rsid w:val="002F1A5F"/>
    <w:rsid w:val="00353607"/>
    <w:rsid w:val="00383F79"/>
    <w:rsid w:val="00444C32"/>
    <w:rsid w:val="00557FD6"/>
    <w:rsid w:val="00672D2F"/>
    <w:rsid w:val="008737B6"/>
    <w:rsid w:val="00920E98"/>
    <w:rsid w:val="00A5220B"/>
    <w:rsid w:val="00A7108B"/>
    <w:rsid w:val="00A94F46"/>
    <w:rsid w:val="00B53695"/>
    <w:rsid w:val="00FA6333"/>
    <w:rsid w:val="00FA6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887EDC-26CD-49C3-B41A-71CE3D7C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53B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737B6"/>
    <w:rPr>
      <w:rFonts w:ascii="Tahoma" w:hAnsi="Tahoma" w:cs="Tahoma"/>
      <w:sz w:val="16"/>
      <w:szCs w:val="16"/>
    </w:rPr>
  </w:style>
  <w:style w:type="character" w:customStyle="1" w:styleId="BalloonTextChar">
    <w:name w:val="Balloon Text Char"/>
    <w:basedOn w:val="DefaultParagraphFont"/>
    <w:link w:val="BalloonText"/>
    <w:rsid w:val="008737B6"/>
    <w:rPr>
      <w:rFonts w:ascii="Tahoma" w:hAnsi="Tahoma" w:cs="Tahoma"/>
      <w:sz w:val="16"/>
      <w:szCs w:val="16"/>
    </w:rPr>
  </w:style>
  <w:style w:type="paragraph" w:styleId="Header">
    <w:name w:val="header"/>
    <w:basedOn w:val="Normal"/>
    <w:link w:val="HeaderChar"/>
    <w:rsid w:val="008737B6"/>
    <w:pPr>
      <w:tabs>
        <w:tab w:val="center" w:pos="4513"/>
        <w:tab w:val="right" w:pos="9026"/>
      </w:tabs>
    </w:pPr>
  </w:style>
  <w:style w:type="character" w:customStyle="1" w:styleId="HeaderChar">
    <w:name w:val="Header Char"/>
    <w:basedOn w:val="DefaultParagraphFont"/>
    <w:link w:val="Header"/>
    <w:rsid w:val="008737B6"/>
    <w:rPr>
      <w:sz w:val="24"/>
      <w:szCs w:val="24"/>
    </w:rPr>
  </w:style>
  <w:style w:type="paragraph" w:styleId="Footer">
    <w:name w:val="footer"/>
    <w:basedOn w:val="Normal"/>
    <w:link w:val="FooterChar"/>
    <w:uiPriority w:val="99"/>
    <w:rsid w:val="008737B6"/>
    <w:pPr>
      <w:tabs>
        <w:tab w:val="center" w:pos="4513"/>
        <w:tab w:val="right" w:pos="9026"/>
      </w:tabs>
    </w:pPr>
  </w:style>
  <w:style w:type="character" w:customStyle="1" w:styleId="FooterChar">
    <w:name w:val="Footer Char"/>
    <w:basedOn w:val="DefaultParagraphFont"/>
    <w:link w:val="Footer"/>
    <w:uiPriority w:val="99"/>
    <w:rsid w:val="008737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757997">
      <w:bodyDiv w:val="1"/>
      <w:marLeft w:val="0"/>
      <w:marRight w:val="0"/>
      <w:marTop w:val="0"/>
      <w:marBottom w:val="0"/>
      <w:divBdr>
        <w:top w:val="none" w:sz="0" w:space="0" w:color="auto"/>
        <w:left w:val="none" w:sz="0" w:space="0" w:color="auto"/>
        <w:bottom w:val="none" w:sz="0" w:space="0" w:color="auto"/>
        <w:right w:val="none" w:sz="0" w:space="0" w:color="auto"/>
      </w:divBdr>
    </w:div>
    <w:div w:id="7982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B6DD-2D61-452A-8147-D0F9CD67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Shire of Moora</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 Williams</dc:creator>
  <cp:lastModifiedBy>Stacey Gooder</cp:lastModifiedBy>
  <cp:revision>2</cp:revision>
  <dcterms:created xsi:type="dcterms:W3CDTF">2013-11-11T04:42:00Z</dcterms:created>
  <dcterms:modified xsi:type="dcterms:W3CDTF">2013-11-11T04:42:00Z</dcterms:modified>
</cp:coreProperties>
</file>